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4A0" w:firstRow="1" w:lastRow="0" w:firstColumn="1" w:lastColumn="0" w:noHBand="0" w:noVBand="1"/>
      </w:tblPr>
      <w:tblGrid>
        <w:gridCol w:w="10322"/>
      </w:tblGrid>
      <w:tr w:rsidR="00185DEB">
        <w:trPr>
          <w:trHeight w:val="4252"/>
        </w:trPr>
        <w:tc>
          <w:tcPr>
            <w:tcW w:w="10322" w:type="dxa"/>
          </w:tcPr>
          <w:p w:rsidR="00185DEB" w:rsidRDefault="0058634D" w:rsidP="006D7543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34D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6D80E0C7" wp14:editId="043C1E02">
                  <wp:extent cx="723900" cy="12192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DEB" w:rsidRDefault="00720423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294EAE">
              <w:rPr>
                <w:rFonts w:ascii="Times New Roman" w:hAnsi="Times New Roman"/>
                <w:b/>
                <w:sz w:val="36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185DEB" w:rsidRDefault="00185DEB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DEB" w:rsidRDefault="00720423">
            <w:pPr>
              <w:keepNext/>
              <w:framePr w:hSpace="180" w:wrap="around" w:vAnchor="page" w:hAnchor="page" w:x="1051" w:y="886"/>
              <w:numPr>
                <w:ilvl w:val="3"/>
                <w:numId w:val="1"/>
              </w:numPr>
              <w:suppressAutoHyphens/>
              <w:spacing w:after="0" w:line="276" w:lineRule="auto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185DEB" w:rsidRDefault="00185DEB">
            <w:pPr>
              <w:keepNext/>
              <w:framePr w:hSpace="180" w:wrap="around" w:vAnchor="page" w:hAnchor="page" w:x="1051" w:y="886"/>
              <w:suppressAutoHyphens/>
              <w:spacing w:after="0" w:line="276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5DEB">
        <w:trPr>
          <w:trHeight w:val="324"/>
        </w:trPr>
        <w:tc>
          <w:tcPr>
            <w:tcW w:w="10322" w:type="dxa"/>
          </w:tcPr>
          <w:p w:rsidR="00185DEB" w:rsidRDefault="00146B00" w:rsidP="00146B00">
            <w:pPr>
              <w:framePr w:hSpace="180" w:wrap="around" w:vAnchor="page" w:hAnchor="page" w:x="1051" w:y="886"/>
              <w:tabs>
                <w:tab w:val="left" w:pos="75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917916744" w:edGrp="everyone" w:colFirst="0" w:colLast="0"/>
            <w:permStart w:id="1710108236" w:edGrp="everyone" w:colFirst="1" w:colLast="1"/>
            <w:r>
              <w:rPr>
                <w:rFonts w:ascii="Times New Roman" w:hAnsi="Times New Roman"/>
                <w:sz w:val="28"/>
                <w:szCs w:val="28"/>
              </w:rPr>
              <w:t xml:space="preserve">26.12.2025                                                                                                                </w:t>
            </w:r>
            <w:r w:rsidR="0072042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1017</w:t>
            </w:r>
          </w:p>
        </w:tc>
      </w:tr>
      <w:tr w:rsidR="00146B00">
        <w:trPr>
          <w:trHeight w:val="324"/>
        </w:trPr>
        <w:tc>
          <w:tcPr>
            <w:tcW w:w="10322" w:type="dxa"/>
          </w:tcPr>
          <w:p w:rsidR="00146B00" w:rsidRDefault="00146B00" w:rsidP="004A5F4D">
            <w:pPr>
              <w:framePr w:hSpace="180" w:wrap="around" w:vAnchor="page" w:hAnchor="page" w:x="1051" w:y="886"/>
              <w:tabs>
                <w:tab w:val="left" w:pos="757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ermStart w:id="195769343" w:edGrp="everyone" w:colFirst="0" w:colLast="0"/>
            <w:permStart w:id="1906597319" w:edGrp="everyone" w:colFirst="1" w:colLast="1"/>
            <w:permEnd w:id="917916744"/>
            <w:permEnd w:id="1710108236"/>
          </w:p>
        </w:tc>
      </w:tr>
      <w:permEnd w:id="195769343"/>
      <w:permEnd w:id="1906597319"/>
    </w:tbl>
    <w:p w:rsidR="00185DEB" w:rsidRDefault="00185D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185DEB" w:rsidRDefault="00720423" w:rsidP="004A5F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Об утверждении муниципальной программы «Развитие физической культуры и спорта </w:t>
      </w:r>
      <w:r w:rsidR="00294EA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округа Воротынский Нижегородской области»</w:t>
      </w:r>
    </w:p>
    <w:p w:rsidR="00294EAE" w:rsidRDefault="00294EAE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85DEB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формирования здорового образа жизни, приобщения различных слоев населения </w:t>
      </w:r>
      <w:r w:rsidR="00294EAE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округа Воротынский Нижегородской области к регулярным занятиям физической культурой и спортом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 соответствии с Порядком разработки, реализации и оценки эффективности муниципальных программ </w:t>
      </w:r>
      <w:r w:rsidR="00404C8D" w:rsidRPr="00404C8D">
        <w:rPr>
          <w:rFonts w:ascii="Times New Roman" w:eastAsia="Times New Roman" w:hAnsi="Times New Roman"/>
          <w:sz w:val="28"/>
          <w:szCs w:val="28"/>
          <w:lang w:eastAsia="ru-RU"/>
        </w:rPr>
        <w:t>городск</w:t>
      </w:r>
      <w:r w:rsidR="00294EAE" w:rsidRPr="00404C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04C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Нижегородской области, утвержденным постановлением администрации </w:t>
      </w:r>
      <w:r w:rsidR="00404C8D" w:rsidRPr="00404C8D">
        <w:rPr>
          <w:rFonts w:ascii="Times New Roman" w:eastAsia="Times New Roman" w:hAnsi="Times New Roman"/>
          <w:sz w:val="28"/>
          <w:szCs w:val="28"/>
          <w:lang w:eastAsia="ru-RU"/>
        </w:rPr>
        <w:t>городск</w:t>
      </w:r>
      <w:r w:rsidR="00294EAE" w:rsidRPr="00404C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04C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Воротын</w:t>
      </w:r>
      <w:r w:rsidR="00E96A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ский Нижегородской области от 15.06.2022 № 327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Администрация </w:t>
      </w:r>
      <w:r w:rsidR="00294EA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округа Воротынский Нижегородской области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о с т а н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в л я е 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185DEB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прилагаемую муниципальную программу «Развитие физической культуры и спорта </w:t>
      </w:r>
      <w:r w:rsidR="00294EA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округа Воротынский Нижегородской области» (далее – Программа).</w:t>
      </w:r>
    </w:p>
    <w:p w:rsidR="00EC58EF" w:rsidRDefault="006C5497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Признат</w:t>
      </w:r>
      <w:r w:rsidR="00052B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ь утратившими силу</w:t>
      </w:r>
      <w:r w:rsidR="00EC58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EF0E01" w:rsidRDefault="00EC58EF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2.1.</w:t>
      </w:r>
      <w:r w:rsidR="00052B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постановления</w:t>
      </w:r>
      <w:r w:rsidR="005D45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администрации городского округа Воротынский Нижегородской области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5D45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03.11.2020 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№ 560 </w:t>
      </w:r>
      <w:r w:rsidR="005D45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«Об утвер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ждении муниципальной программы </w:t>
      </w:r>
      <w:r w:rsidR="005D45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«Развитие физической культуры и спорта городского округа Воротынский Нижегородской области»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от 12.02.2021 № 75 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«О внесении изменений в муниципальную программу «Развитие физической культуры и спорта городского округа Воротынский Нижегородской области от </w:t>
      </w:r>
      <w:smartTag w:uri="urn:schemas-microsoft-com:office:smarttags" w:element="date">
        <w:smartTagPr>
          <w:attr w:name="ls" w:val="trans"/>
          <w:attr w:name="Month" w:val="11"/>
          <w:attr w:name="Day" w:val="03"/>
          <w:attr w:name="Year" w:val="2020"/>
        </w:smartTagPr>
        <w:r w:rsidR="006C5497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03.11.2020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4"/>
          <w:attr w:name="Day" w:val="19"/>
          <w:attr w:name="Year" w:val="2021"/>
        </w:smartTagPr>
        <w:r w:rsidR="006C5497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19.04.2021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C5497" w:rsidRP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 251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«О внесении изменений в муниципальную программу «Развитие физической культуры и спорта городского округа Воротынский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3"/>
          <w:attr w:name="Day" w:val="03"/>
          <w:attr w:name="Year" w:val="2022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03.03.2022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 102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2022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26.10.2022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C5497" w:rsidRP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 621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22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11.11.2022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C5497" w:rsidRP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 654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22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28.12.2022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C5497" w:rsidRP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№780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2023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27.02.2023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102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05"/>
          <w:attr w:name="Day" w:val="29"/>
          <w:attr w:name="Year" w:val="2023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29.05.2023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305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2023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07.11.2023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661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17"/>
          <w:attr w:name="Year" w:val="2023"/>
        </w:smartTagPr>
        <w:r w:rsidR="00A15345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17.11.2023</w:t>
        </w:r>
        <w:r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 xml:space="preserve"> </w:t>
        </w:r>
      </w:smartTag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№ 684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 24.01.2024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41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«О внесении изменений в муниципальную программу «Развитие физической культуры и спорта городского округа Воротынский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A15345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24.04.2024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242</w:t>
      </w:r>
      <w:r w:rsid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F0E01"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18.09.2024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528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 06.11.2024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652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30.01.2025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55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EF0E01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20.05.2025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387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области»»;</w:t>
      </w:r>
    </w:p>
    <w:p w:rsidR="0040057D" w:rsidRDefault="00EF0E01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A15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 04.08.2025</w:t>
      </w:r>
      <w:r w:rsidR="006C54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№ 606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тынский Нижегородской области»»</w:t>
      </w:r>
    </w:p>
    <w:p w:rsidR="005D454D" w:rsidRDefault="00EC58EF" w:rsidP="00052B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2.2. </w:t>
      </w:r>
      <w:r w:rsidRPr="00EC58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постановление Администрации муниципального округа Воротынский Нижегородской области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40057D" w:rsidRPr="004005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r w:rsidR="004005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26.12</w:t>
      </w:r>
      <w:r w:rsidR="0040057D" w:rsidRPr="004005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.2025 № </w:t>
      </w:r>
      <w:r w:rsidR="00BF1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1011</w:t>
      </w:r>
      <w:r w:rsidR="0040057D" w:rsidRPr="004005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 внесении изменений в муниципальную программу «Развитие физической культуры и спорта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  <w:r w:rsidR="00EF0E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85DEB" w:rsidRDefault="00052B2B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8120C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Рекомендовать о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тделу культуры, спорта и туризма администрации </w:t>
      </w:r>
      <w:r w:rsidR="00294EA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округа Воротынский Нижегородской области обеспечить своевременное и полное выполнение Программы.</w:t>
      </w:r>
    </w:p>
    <w:p w:rsidR="00185DEB" w:rsidRPr="004A5F4D" w:rsidRDefault="00052B2B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Разместить настоящее постановление на официальном портале органов местного самоуправления </w:t>
      </w:r>
      <w:r w:rsidR="00294EA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округа Воротынский Нижегородской области </w:t>
      </w:r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https</w:t>
      </w:r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</w:t>
      </w:r>
      <w:proofErr w:type="spellStart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vorotynets</w:t>
      </w:r>
      <w:proofErr w:type="spellEnd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spellStart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nobl</w:t>
      </w:r>
      <w:proofErr w:type="spellEnd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spellStart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ru</w:t>
      </w:r>
      <w:proofErr w:type="spellEnd"/>
      <w:r w:rsidR="004A5F4D" w:rsidRPr="004A5F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</w:t>
      </w:r>
      <w:r w:rsidR="004A5F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85DEB" w:rsidRDefault="00052B2B" w:rsidP="004A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5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Контроль за исполнением настоящего постановления возложить на начальника Отдела культуры, спорта и туризма администрации </w:t>
      </w:r>
      <w:r w:rsidR="00294EA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</w:t>
      </w:r>
      <w:r w:rsidR="007204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округа Воротынский Нижегородской области Ершова И.В.</w:t>
      </w:r>
    </w:p>
    <w:p w:rsidR="00052B2B" w:rsidRDefault="00052B2B" w:rsidP="00EF0E01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85DEB" w:rsidRDefault="00720423" w:rsidP="00E77293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Глава местного самоуправления                                                             </w:t>
      </w:r>
    </w:p>
    <w:p w:rsidR="00185DEB" w:rsidRDefault="00294EAE" w:rsidP="00E77293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муниципального</w:t>
      </w:r>
      <w:r w:rsidR="0072042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округа Воротынский                                                       </w:t>
      </w:r>
    </w:p>
    <w:p w:rsidR="00EC33D0" w:rsidRPr="00EF0E01" w:rsidRDefault="00720423" w:rsidP="00EF0E01">
      <w:pPr>
        <w:pStyle w:val="af7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Нижегородской области                                                                            А.А. С</w:t>
      </w:r>
      <w:r w:rsidR="00D9198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авельев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</w:t>
      </w: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Default="00EC58EF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4D" w:rsidRDefault="005D454D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185DEB" w:rsidRPr="000718E0" w:rsidRDefault="00E77293" w:rsidP="005D45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D45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85DEB" w:rsidRPr="000718E0" w:rsidRDefault="00294EAE" w:rsidP="004A5F4D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72042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185DEB" w:rsidRPr="000718E0" w:rsidRDefault="00720423" w:rsidP="004A5F4D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85DEB" w:rsidRPr="000718E0" w:rsidRDefault="00E77293" w:rsidP="00146B0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72042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26.12.2025 </w:t>
      </w:r>
      <w:r w:rsidR="0072042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46B00">
        <w:rPr>
          <w:rFonts w:ascii="Times New Roman" w:eastAsia="Times New Roman" w:hAnsi="Times New Roman" w:cs="Times New Roman"/>
          <w:sz w:val="28"/>
          <w:szCs w:val="28"/>
          <w:lang w:eastAsia="ru-RU"/>
        </w:rPr>
        <w:t>1017</w:t>
      </w:r>
      <w:bookmarkStart w:id="0" w:name="_GoBack"/>
      <w:bookmarkEnd w:id="0"/>
    </w:p>
    <w:p w:rsidR="00185DEB" w:rsidRPr="000718E0" w:rsidRDefault="00185DEB" w:rsidP="004A5F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EB" w:rsidRPr="000718E0" w:rsidRDefault="00720423" w:rsidP="0041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85DEB" w:rsidRPr="000718E0" w:rsidRDefault="00720423" w:rsidP="0041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«Развитие физической культуры и спорта </w:t>
      </w:r>
      <w:r w:rsidR="00294EAE"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Воротынский</w:t>
      </w:r>
      <w:r w:rsidR="0058634D"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области»</w:t>
      </w:r>
    </w:p>
    <w:p w:rsidR="00185DEB" w:rsidRPr="000718E0" w:rsidRDefault="00720423" w:rsidP="0041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(далее Программа) </w:t>
      </w:r>
    </w:p>
    <w:p w:rsidR="00294EAE" w:rsidRPr="000718E0" w:rsidRDefault="00294EAE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DEB" w:rsidRPr="000718E0" w:rsidRDefault="00720423" w:rsidP="004A5F4D">
      <w:pPr>
        <w:pStyle w:val="af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8E0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185DEB" w:rsidRPr="000718E0" w:rsidRDefault="00185DEB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626"/>
        <w:gridCol w:w="7795"/>
      </w:tblGrid>
      <w:tr w:rsidR="00185DEB" w:rsidRPr="000718E0" w:rsidTr="009825E0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 культуры, спорта и туризма администрации </w:t>
            </w:r>
            <w:r w:rsidR="00294EAE"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 Воротынский Нижегородской области</w:t>
            </w:r>
          </w:p>
        </w:tc>
      </w:tr>
      <w:tr w:rsidR="00185DEB" w:rsidRPr="000718E0" w:rsidTr="009825E0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85DEB" w:rsidRPr="000718E0" w:rsidTr="009825E0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создание условий для развития человеческого потенциала;</w:t>
            </w:r>
          </w:p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формирование здорового образа жизни;</w:t>
            </w:r>
          </w:p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приобщение различных слоев населения </w:t>
            </w:r>
            <w:r w:rsidR="00294EAE"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 Воротынский к регулярным занятиям физической культурой и спортом.</w:t>
            </w:r>
          </w:p>
        </w:tc>
      </w:tr>
      <w:tr w:rsidR="00185DEB" w:rsidRPr="000718E0" w:rsidTr="009825E0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общего числа занимающихся физической культурой и спортом среди всех слоев населения путем доступности и популяризации физической культуры и спорта в </w:t>
            </w:r>
            <w:r w:rsidR="00A1003C" w:rsidRPr="000718E0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ом округе Воротынский;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по улучшению материально-технической базы для учреждений спорта, находящихся на территории </w:t>
            </w:r>
            <w:r w:rsidR="00294EAE" w:rsidRPr="000718E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- Формирование у всех категорий населения навыков здорового образа жизни и системы физкультурно-спортивного воспитания;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- Создание эффективной системы подготовки спортивного резерва для сборных команд;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Пропаганда здорового образа жизни среди широких слоев населения </w:t>
            </w:r>
            <w:r w:rsidR="00294EAE" w:rsidRPr="000718E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физкультурных и спортивных мероприятий, организация физкультурно-спортивной работы по месту жительства граждан.</w:t>
            </w:r>
          </w:p>
        </w:tc>
      </w:tr>
      <w:tr w:rsidR="00905EC1" w:rsidRPr="000718E0" w:rsidTr="009825E0">
        <w:trPr>
          <w:trHeight w:val="9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C1" w:rsidRPr="000718E0" w:rsidRDefault="00905EC1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и сроки реализации Программы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C1" w:rsidRPr="000718E0" w:rsidRDefault="00905EC1" w:rsidP="00E7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реализуется в течение </w:t>
            </w:r>
            <w:r w:rsidR="00294EAE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2026-2031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 без разделения на этапы.</w:t>
            </w:r>
          </w:p>
        </w:tc>
      </w:tr>
      <w:tr w:rsidR="00905EC1" w:rsidRPr="000718E0" w:rsidTr="009825E0">
        <w:trPr>
          <w:trHeight w:val="286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C1" w:rsidRPr="000718E0" w:rsidRDefault="00905EC1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Объемы бюджетных </w:t>
            </w: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ассигнований Программы за счет средств бюджета </w:t>
            </w:r>
            <w:r w:rsidR="00294EAE"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905EC1" w:rsidRPr="000718E0" w:rsidRDefault="00905EC1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8"/>
                <w:szCs w:val="28"/>
                <w:lang w:eastAsia="ru-RU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15" w:rsidRPr="000718E0" w:rsidRDefault="00671315" w:rsidP="00E7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Объемы бюджетных ассигнований для реализации программы «Развитие физической культуры и спорта </w:t>
            </w:r>
            <w:r w:rsidR="00294EAE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округа Воротынский Нижегородской области» составляет – 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319 291,3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 в том числе: </w:t>
            </w:r>
          </w:p>
          <w:p w:rsidR="00671315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</w:t>
            </w:r>
            <w:r w:rsidR="00D91983"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D91983"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55 848,1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671315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D91983"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51 377,6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671315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91983"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53 016,4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671315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53 016,4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671315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53 016,4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905EC1" w:rsidRPr="000718E0" w:rsidRDefault="00671315" w:rsidP="00E77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53 016,4 </w:t>
            </w:r>
            <w:r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185DEB" w:rsidRPr="000718E0" w:rsidTr="009825E0">
        <w:trPr>
          <w:trHeight w:val="256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Индикаторы достижения цели и показатели непосредственных результатов Программы</w:t>
            </w:r>
            <w:r w:rsidRPr="000718E0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 до 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22%;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>- Увеличение числа участников спортивно-массовых мероприятий и соревнований в % отношении до 20%;</w:t>
            </w:r>
          </w:p>
          <w:p w:rsidR="00185DEB" w:rsidRPr="000718E0" w:rsidRDefault="00720423" w:rsidP="00E772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детей, осваивающих дополнительные образовательные программы в учреждении дополнительного образования до 70%;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Уровень удовлетворенности пользователей качеством спортивных сооружений до 80%.</w:t>
            </w:r>
          </w:p>
        </w:tc>
      </w:tr>
      <w:tr w:rsidR="00185DEB" w:rsidRPr="000718E0" w:rsidTr="009825E0">
        <w:trPr>
          <w:trHeight w:val="729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Показатели непосредственных результатов Программы 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проведенных соревнований и спортивно-массовых мероприятий в </w:t>
            </w:r>
            <w:r w:rsidR="002D0EB6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ом округе Воротынский до </w:t>
            </w:r>
            <w:r w:rsidR="003C0CB1" w:rsidRPr="000718E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сборных команд </w:t>
            </w:r>
            <w:r w:rsidR="00294EAE" w:rsidRPr="000718E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Воротынский, выступающих на первен</w:t>
            </w:r>
            <w:r w:rsidR="002D0EB6">
              <w:rPr>
                <w:rFonts w:ascii="Times New Roman" w:hAnsi="Times New Roman" w:cs="Times New Roman"/>
                <w:sz w:val="28"/>
                <w:szCs w:val="28"/>
              </w:rPr>
              <w:t>стве Нижегородской области до 20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команд (</w:t>
            </w:r>
            <w:r w:rsidR="00404C8D" w:rsidRPr="000718E0">
              <w:rPr>
                <w:rFonts w:ascii="Times New Roman" w:hAnsi="Times New Roman" w:cs="Times New Roman"/>
                <w:sz w:val="28"/>
                <w:szCs w:val="28"/>
              </w:rPr>
              <w:t>4 взрослых команд</w:t>
            </w:r>
            <w:r w:rsidR="002D0E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04C8D" w:rsidRPr="000718E0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команд);</w:t>
            </w:r>
          </w:p>
          <w:p w:rsidR="00185DEB" w:rsidRPr="000718E0" w:rsidRDefault="00720423" w:rsidP="00E77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человеко-часов в год, осваивающих дополнительные общеразвивающие программы до </w:t>
            </w:r>
            <w:r w:rsidR="00D91983" w:rsidRPr="0007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76500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85DEB" w:rsidRPr="000718E0" w:rsidRDefault="00720423" w:rsidP="00E772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8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посетителей спортивных объектов человеко-часов в год до 37000.</w:t>
            </w:r>
          </w:p>
        </w:tc>
      </w:tr>
    </w:tbl>
    <w:p w:rsidR="00185DEB" w:rsidRPr="000718E0" w:rsidRDefault="00185DEB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DEB" w:rsidRPr="000718E0" w:rsidRDefault="00720423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Текстовая часть Программы</w:t>
      </w:r>
    </w:p>
    <w:p w:rsidR="00185DEB" w:rsidRPr="000718E0" w:rsidRDefault="00720423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Характеристика текущего состояния</w:t>
      </w:r>
    </w:p>
    <w:p w:rsidR="009825E0" w:rsidRPr="000718E0" w:rsidRDefault="009825E0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реализацией на территории Нижегородской области регионального проекта «Спорт - норма жизни» национального проекта «Демография» в </w:t>
      </w:r>
      <w:r w:rsidR="002D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округе Воротынский Нижегородской области разработан план реализации регионального проекта «Спорт – норма жизни».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Style w:val="21"/>
          <w:rFonts w:eastAsiaTheme="minorHAnsi"/>
          <w:sz w:val="28"/>
          <w:szCs w:val="28"/>
          <w:lang w:bidi="ar-SA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</w:t>
      </w:r>
      <w:r w:rsidR="00727D97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позволит довести к 2031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до </w:t>
      </w:r>
      <w:r w:rsidR="00727D97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63,8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долю жителей </w:t>
      </w:r>
      <w:r w:rsidR="00294EAE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Воротынский</w:t>
      </w:r>
      <w:r w:rsidRPr="000718E0">
        <w:rPr>
          <w:rStyle w:val="10"/>
          <w:rFonts w:ascii="Times New Roman" w:eastAsiaTheme="minorHAnsi" w:hAnsi="Times New Roman" w:cs="Times New Roman"/>
          <w:sz w:val="28"/>
          <w:szCs w:val="28"/>
          <w:u w:val="none"/>
        </w:rPr>
        <w:t xml:space="preserve">, </w:t>
      </w:r>
      <w:r w:rsidRPr="000718E0">
        <w:rPr>
          <w:rStyle w:val="21"/>
          <w:rFonts w:eastAsiaTheme="minorHAnsi"/>
          <w:sz w:val="28"/>
          <w:szCs w:val="28"/>
        </w:rPr>
        <w:t>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в том числе вовлечение в подготовку и выполнение нормативов Всероссийского физкультурно-спортивного комплекса "Готов к труду и обороне", а также подготовки спортивного резерва и развития спортивной инфраструктуры.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Всего в районе </w:t>
      </w:r>
      <w:r w:rsidR="0001189D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штатных работников физической культуры и спорта, из них </w:t>
      </w:r>
      <w:r w:rsidR="0001189D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высшее образование. Количество занимающихся спортом в </w:t>
      </w:r>
      <w:r w:rsidR="000960D0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округе Воротынский составило </w:t>
      </w:r>
      <w:r w:rsidR="003C0CB1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7824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3C0CB1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E0521A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59,7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населения округа. Значимую роль в привлечении населения к занятиям физической культурой и спортом играет МАУ ДО ФОК «Волга», отвечающий всем современным требованиям. Обеспеченность спортивными сооружениями </w:t>
      </w:r>
      <w:r w:rsidR="000607DF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округе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607DF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67AF3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607DF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плоскостными сооружениями - 8, спортивными залами - 17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плавательными бассейнами </w:t>
      </w:r>
      <w:r w:rsidR="00367AF3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367AF3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крытый каток с искусственным льдом – 1, площадки с тренажерами – 2, другие спортивные сооружения -6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проблемы — это проблемы, требующие финансового, организационно-управленческого, нормативно-правового и информационно-технологического обеспечения можно сформулировать следующим образом: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Недостаточное привлечение населения к занятиям физической культурой и спортом, особенно по месту жительства, а также дефицит кадров, организующих эту работу на площадках в отдаленных от р.п Воротынец деревнях, селах, поселках. Материально-спортивная база, имеющаяся в сельских поселениях, в основном не отвечает современным требованиям. Спортивные залы и спортивные площадки в настоящее время поддерживаются в относительном порядке. Ежегодно не хватает финансовых средств для обеспечения спортсменов Воротынского </w:t>
      </w:r>
      <w:r w:rsidR="00367AF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качественным спортивным инвентарем и спортивной формой.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294EAE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входят территории следующих территориальных образований: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городские населенные пункты: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рабочий поселок Воротынец;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рабочий поселок Васильсурск.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сельские населенные пункты: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слобода Хмелевка,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Белавка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Березов Майдан, село Каменка, сельский поселок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Кузьмияр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Ахпаевка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Быковка, сельский поселок Красная Горка,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Львово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Николаевка, деревня Ольгино,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Сарайки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Михайловское,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Разнежье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Елвашка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сельский поселок Красный Восток, сельский поселок Красные Языки,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Крутцы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сельский поселок Новая Жизнь, село Огнев-Майдан, деревня Покровка, село Покров-Майдан, сельский поселок Юрты, сельский поселок Казанский, сельский поселок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Калиновец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сельский поселок Лысая Гора, село Осинки, село Отары, сельский поселок Петровский, сельский поселок Сосенки, сельский поселок Шереметьево,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Агрофенино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Александровка, село Ивановка,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Кекино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Ледырь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сельский поселок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Нефедиха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Никольское, сельский поселок Новинки,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Семьяны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Староникольское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Тришкино,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Шокино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сельский поселок Приволжский, село </w:t>
      </w:r>
      <w:proofErr w:type="spellStart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Сомовка</w:t>
      </w:r>
      <w:proofErr w:type="spellEnd"/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Фокино, сельский поселок Алексеевский, деревня Варварино, деревня Калитка, село Криуши, деревня Надеждино, село Чугуны, сельский поселок Южный.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сельских населенных пунктах отсутствуют инструкторы по спорту для спортивно-оздоровительной работы с населением, что является одной из важнейших проблем развития спорта и физической культуры на селе.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Слабая физическая подготовленность детей, подростков и молодежи.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Низкий уровень обеспеченности детских образовательных учреждений качественным спортивным инвентарем и оборудованием.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активной пропаганды занятий физической культурой и спортом, как важнейшего компонента здорового образа жизни. 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Несоответствие системы управления муниципальными учреждениями требованиям программно-целевого управления и бюджетирования по результатам.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проблемы сдерживают рост жителей округа, занимающихся физической культурой и спортом.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программа направлена на решение этих проблем, разработан в полном объ</w:t>
      </w:r>
      <w:r w:rsidR="00367AF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перечень мероприятий на 2026-2031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направленный на развитие культивируемых видов спорта, а также на привлечение всех слоев населения в </w:t>
      </w:r>
      <w:r w:rsidR="002D0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округе Воротынский к занятиям физической культурой и спортом.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DEB" w:rsidRPr="000718E0" w:rsidRDefault="00720423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Цели, задачи</w:t>
      </w:r>
    </w:p>
    <w:p w:rsidR="009825E0" w:rsidRPr="000718E0" w:rsidRDefault="009825E0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настоящей Программы является создание и совершенствование условий для развития человеческого потенциала, формирование здорового образа жизни, приобщение различных слоев населения </w:t>
      </w:r>
      <w:r w:rsidR="00294EAE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к регулярным занятиям физической культурой и спортом.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предполагается решение следующих задач: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общего числа занимающихся физической культурой и спортом среди всех слоев населения путем доступности и популяризации физической культуры и спорта в </w:t>
      </w:r>
      <w:r w:rsidR="00FB34E0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округе Воротынский;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по улучшению материально-технической базы для учреждений спорта, находящихся на территории </w:t>
      </w:r>
      <w:r w:rsidR="00294EAE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всех категорий населения навыков здорового образа жизни и системы физкультурно-спортивного воспитания населения;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эффективной системы подготовки спортивного резерва для сборных команд;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 среди широких слоев населения;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физкультурных и спортивных мероприятий, организация физкультурно-спортивной работы по месту жительства граждан;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среди населения </w:t>
      </w:r>
      <w:r w:rsidR="00294EAE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Воротынский, ориентируемая на подготовку к сдаче нормативов Всероссийского физкультурно-спортивного комплекса «Готов к труду и обороне»;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новых форм физкультурно-оздоровительной и спортивно-массовой работы;</w:t>
      </w:r>
    </w:p>
    <w:p w:rsidR="00185DEB" w:rsidRPr="000718E0" w:rsidRDefault="00720423" w:rsidP="004A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физической культуры и спорта с учетом возрастных, профессиональных и социальных особенностей различных групп населения, раскрытие социальной значимости физической культуры и спорта, как инструмента в формировании здорового образа жизни граждан, укрепления здоровья и профилактики заболеваний.</w:t>
      </w:r>
    </w:p>
    <w:p w:rsidR="00185DEB" w:rsidRPr="000718E0" w:rsidRDefault="00185DEB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EAE" w:rsidRPr="000718E0" w:rsidRDefault="00720423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 Сроки и этапы реализации Программы</w:t>
      </w:r>
      <w:r w:rsidR="00905EC1"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5DEB" w:rsidRPr="000718E0" w:rsidRDefault="00905EC1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в течение </w:t>
      </w:r>
      <w:r w:rsidR="00294EAE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2026-2031 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без разделения на этапы.</w:t>
      </w:r>
    </w:p>
    <w:p w:rsidR="00905EC1" w:rsidRPr="000718E0" w:rsidRDefault="00905EC1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EB" w:rsidRPr="000718E0" w:rsidRDefault="00720423" w:rsidP="004A5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Перечень основных мероприятий Программы</w:t>
      </w: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программы определен в таблице 1. </w:t>
      </w:r>
    </w:p>
    <w:p w:rsidR="00185DEB" w:rsidRPr="000718E0" w:rsidRDefault="00185DEB" w:rsidP="004A5F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EB" w:rsidRPr="000718E0" w:rsidRDefault="00185DEB" w:rsidP="004A5F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5DEB" w:rsidRPr="000718E0" w:rsidSect="004A5F4D">
          <w:type w:val="continuous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left="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1. Перечень основных программных мероприятий </w:t>
      </w:r>
    </w:p>
    <w:p w:rsidR="005D4A95" w:rsidRPr="000718E0" w:rsidRDefault="005D4A95" w:rsidP="004A5F4D">
      <w:pPr>
        <w:widowControl w:val="0"/>
        <w:autoSpaceDE w:val="0"/>
        <w:autoSpaceDN w:val="0"/>
        <w:adjustRightInd w:val="0"/>
        <w:spacing w:after="0" w:line="240" w:lineRule="auto"/>
        <w:ind w:left="568"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82"/>
        <w:gridCol w:w="1036"/>
        <w:gridCol w:w="211"/>
        <w:gridCol w:w="1267"/>
        <w:gridCol w:w="1606"/>
        <w:gridCol w:w="1182"/>
        <w:gridCol w:w="1170"/>
        <w:gridCol w:w="1170"/>
        <w:gridCol w:w="1097"/>
        <w:gridCol w:w="1097"/>
        <w:gridCol w:w="1103"/>
        <w:gridCol w:w="1241"/>
        <w:gridCol w:w="9"/>
      </w:tblGrid>
      <w:tr w:rsidR="00294EAE" w:rsidRPr="000718E0" w:rsidTr="00294EAE">
        <w:trPr>
          <w:gridAfter w:val="1"/>
          <w:wAfter w:w="3" w:type="pct"/>
          <w:trHeight w:val="639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мероприятий </w:t>
            </w:r>
          </w:p>
        </w:tc>
        <w:tc>
          <w:tcPr>
            <w:tcW w:w="2755" w:type="pct"/>
            <w:gridSpan w:val="7"/>
            <w:shd w:val="clear" w:color="auto" w:fill="auto"/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(по годам) за счет средств бюджета муниципального округа тыс. руб.</w:t>
            </w:r>
          </w:p>
          <w:p w:rsidR="00294EAE" w:rsidRPr="000718E0" w:rsidRDefault="00294EAE" w:rsidP="009825E0">
            <w:pPr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</w:tr>
      <w:tr w:rsidR="00294EAE" w:rsidRPr="000718E0" w:rsidTr="00294EAE">
        <w:trPr>
          <w:trHeight w:val="233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4A5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94EAE" w:rsidRPr="000718E0" w:rsidTr="00294EAE">
        <w:trPr>
          <w:trHeight w:val="233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муниципального округа Воротынский к регулярным занятиям физической культурой и спортом.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294EAE" w:rsidRPr="000718E0" w:rsidTr="00294EAE">
        <w:trPr>
          <w:trHeight w:val="180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 </w:t>
            </w: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01189D" w:rsidRPr="000718E0" w:rsidTr="00294EAE">
        <w:trPr>
          <w:trHeight w:val="23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сборных команд муниципального округа Воротынский в областных, всероссийских и международных соревнованиях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A52" w:rsidRPr="000718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189D" w:rsidRPr="000718E0" w:rsidTr="00294EAE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муниципальног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округа Воротынский среди коллективов организаций, предприятий и учреждений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туризма, МАУ ДО ФОК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A52" w:rsidRPr="000718E0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189D" w:rsidRPr="000718E0" w:rsidTr="00294EAE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муниципального округа Воротынский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1189D" w:rsidRPr="00071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189D" w:rsidRPr="000718E0" w:rsidTr="0001189D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89D"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189D" w:rsidRPr="000718E0" w:rsidTr="000960D0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инвалидов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D" w:rsidRPr="000718E0" w:rsidRDefault="0001189D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9D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89D"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2A52" w:rsidRPr="000718E0" w:rsidTr="00294EAE">
        <w:trPr>
          <w:trHeight w:val="1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детских садов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92A52" w:rsidRPr="000718E0" w:rsidTr="00294EAE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спорта и туризма, МАУ ДО ФОК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294EAE" w:rsidRPr="000718E0" w:rsidTr="00294EAE">
        <w:trPr>
          <w:trHeight w:val="1011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Предоставления субсидий на финансовое обеспечение муниципальных заданий на оказание муниципальных услуг (выполнение работ) МАУ ДО ФОК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55 348,1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3614D6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</w:t>
            </w:r>
            <w:r w:rsidR="003614D6" w:rsidRPr="000718E0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3614D6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3614D6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3614D6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316 291,3</w:t>
            </w:r>
          </w:p>
        </w:tc>
      </w:tr>
      <w:tr w:rsidR="00294EAE" w:rsidRPr="000718E0" w:rsidTr="00294EAE">
        <w:trPr>
          <w:trHeight w:val="685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2D0EB6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  Ресурсное обеспечение сферы физической культуры и спорта в </w:t>
            </w:r>
            <w:r w:rsidR="002D0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4EAE" w:rsidRPr="000718E0" w:rsidTr="00294EAE">
        <w:trPr>
          <w:trHeight w:val="42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AE" w:rsidRPr="000718E0" w:rsidRDefault="00294EAE" w:rsidP="009825E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МАУ ДО ФОК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E" w:rsidRPr="000718E0" w:rsidRDefault="00294EAE" w:rsidP="009825E0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5D4A95" w:rsidRPr="000718E0" w:rsidRDefault="005D4A95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Индикаторы достижения цели и непосредственные результаты реализации муниципальной программы</w:t>
      </w:r>
    </w:p>
    <w:p w:rsidR="003614D6" w:rsidRPr="000718E0" w:rsidRDefault="003614D6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color w:val="1F4E79" w:themeColor="accent1" w:themeShade="80"/>
          <w:sz w:val="28"/>
          <w:szCs w:val="28"/>
          <w:lang w:eastAsia="ru-RU"/>
        </w:rPr>
      </w:pP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2. Сведения об индикаторах и непосредственных результатах </w:t>
      </w:r>
    </w:p>
    <w:p w:rsidR="003614D6" w:rsidRPr="000718E0" w:rsidRDefault="003614D6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4381"/>
        <w:gridCol w:w="1266"/>
        <w:gridCol w:w="991"/>
        <w:gridCol w:w="1163"/>
        <w:gridCol w:w="1107"/>
        <w:gridCol w:w="1319"/>
        <w:gridCol w:w="1179"/>
        <w:gridCol w:w="1472"/>
      </w:tblGrid>
      <w:tr w:rsidR="003614D6" w:rsidRPr="000718E0" w:rsidTr="003614D6">
        <w:trPr>
          <w:trHeight w:val="573"/>
          <w:tblHeader/>
        </w:trPr>
        <w:tc>
          <w:tcPr>
            <w:tcW w:w="127" w:type="pct"/>
            <w:vMerge w:val="restar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pct"/>
            <w:vMerge w:val="restar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736" w:type="pct"/>
            <w:gridSpan w:val="6"/>
            <w:shd w:val="clear" w:color="auto" w:fill="auto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индикатора/непосредственного результата</w:t>
            </w:r>
          </w:p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14D6" w:rsidRPr="000718E0" w:rsidTr="003614D6">
        <w:trPr>
          <w:trHeight w:val="324"/>
          <w:tblHeader/>
        </w:trPr>
        <w:tc>
          <w:tcPr>
            <w:tcW w:w="127" w:type="pct"/>
            <w:vMerge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pct"/>
            <w:vMerge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</w:tr>
      <w:tr w:rsidR="003614D6" w:rsidRPr="000718E0" w:rsidTr="003614D6">
        <w:trPr>
          <w:trHeight w:val="300"/>
          <w:tblHeader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" w:type="pct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7" w:type="pct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614D6" w:rsidRPr="000718E0" w:rsidTr="003614D6">
        <w:trPr>
          <w:trHeight w:val="300"/>
          <w:tblHeader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614D6" w:rsidRPr="000718E0" w:rsidRDefault="003614D6" w:rsidP="002D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в </w:t>
            </w:r>
            <w:r w:rsidR="002D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 округе Воротынский Нижегородской области»</w:t>
            </w:r>
          </w:p>
        </w:tc>
      </w:tr>
      <w:tr w:rsidR="003614D6" w:rsidRPr="000718E0" w:rsidTr="003614D6">
        <w:trPr>
          <w:trHeight w:val="660"/>
        </w:trPr>
        <w:tc>
          <w:tcPr>
            <w:tcW w:w="1785" w:type="pct"/>
            <w:gridSpan w:val="2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 достижения целей и задач программы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14D6" w:rsidRPr="000718E0" w:rsidTr="003614D6">
        <w:trPr>
          <w:trHeight w:val="660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614D6" w:rsidRPr="000718E0" w:rsidTr="003614D6">
        <w:trPr>
          <w:trHeight w:val="660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участников спортивно-массовых мероприятиях и соревнованиях в % отношении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614D6" w:rsidRPr="000718E0" w:rsidTr="003614D6">
        <w:trPr>
          <w:trHeight w:val="924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детей, осваивающих дополнительные образовательные программы в учреждении дополнительного образования 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614D6" w:rsidRPr="000718E0" w:rsidTr="003614D6">
        <w:trPr>
          <w:trHeight w:val="463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физической культуры и спорта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5" w:type="pct"/>
            <w:vAlign w:val="center"/>
          </w:tcPr>
          <w:p w:rsidR="003614D6" w:rsidRPr="000718E0" w:rsidRDefault="00992A52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614D6" w:rsidRPr="000718E0" w:rsidTr="003614D6">
        <w:trPr>
          <w:trHeight w:val="948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пользователей качеством спортивных сооружений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3614D6" w:rsidRPr="000718E0" w:rsidTr="003614D6">
        <w:trPr>
          <w:trHeight w:val="648"/>
        </w:trPr>
        <w:tc>
          <w:tcPr>
            <w:tcW w:w="1785" w:type="pct"/>
            <w:gridSpan w:val="2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Непосредственные результаты реализации программы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614D6" w:rsidRPr="000718E0" w:rsidTr="003614D6">
        <w:trPr>
          <w:trHeight w:val="648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2D0E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проведенных соревнований и спортивно-массовых мероприятий в </w:t>
            </w:r>
            <w:r w:rsidR="002D0EB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 w:rsidRPr="000718E0">
              <w:rPr>
                <w:rFonts w:ascii="Times New Roman" w:eastAsia="Calibri" w:hAnsi="Times New Roman" w:cs="Times New Roman"/>
                <w:sz w:val="24"/>
                <w:szCs w:val="24"/>
              </w:rPr>
              <w:t>ом округе Воротынский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992A52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992A52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7" w:type="pct"/>
            <w:vAlign w:val="center"/>
          </w:tcPr>
          <w:p w:rsidR="003614D6" w:rsidRPr="000718E0" w:rsidRDefault="00992A52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14D6" w:rsidRPr="000718E0" w:rsidTr="003614D6">
        <w:trPr>
          <w:trHeight w:val="864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сборных команд муниципального округа Воротынский, выступающих на первенство Нижегородской области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75" w:type="pct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614D6"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614D6"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614D6"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7" w:type="pct"/>
            <w:vAlign w:val="center"/>
          </w:tcPr>
          <w:p w:rsidR="003614D6" w:rsidRPr="000718E0" w:rsidRDefault="00404C8D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614D6" w:rsidRPr="000718E0" w:rsidTr="003614D6">
        <w:trPr>
          <w:trHeight w:val="739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 в год, осваивающих дополнительных общеразвивающие программы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id="1"/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 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76500</w:t>
            </w:r>
          </w:p>
        </w:tc>
      </w:tr>
      <w:tr w:rsidR="003614D6" w:rsidRPr="000718E0" w:rsidTr="003614D6">
        <w:trPr>
          <w:trHeight w:val="600"/>
        </w:trPr>
        <w:tc>
          <w:tcPr>
            <w:tcW w:w="127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посетителей спортивных объектов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человеко-часы</w:t>
            </w:r>
          </w:p>
        </w:tc>
        <w:tc>
          <w:tcPr>
            <w:tcW w:w="375" w:type="pct"/>
            <w:vAlign w:val="center"/>
          </w:tcPr>
          <w:p w:rsidR="003614D6" w:rsidRPr="000718E0" w:rsidRDefault="003614D6" w:rsidP="0016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</w:t>
            </w:r>
          </w:p>
        </w:tc>
        <w:tc>
          <w:tcPr>
            <w:tcW w:w="557" w:type="pct"/>
            <w:vAlign w:val="center"/>
          </w:tcPr>
          <w:p w:rsidR="003614D6" w:rsidRPr="000718E0" w:rsidRDefault="003614D6" w:rsidP="001670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370000</w:t>
            </w:r>
          </w:p>
        </w:tc>
      </w:tr>
    </w:tbl>
    <w:p w:rsidR="00185DEB" w:rsidRPr="000718E0" w:rsidRDefault="00720423" w:rsidP="00167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5DEB" w:rsidRPr="000718E0" w:rsidSect="004A5F4D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2022-202</w:t>
      </w:r>
      <w:r w:rsidR="00A44898"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</w:t>
      </w: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гг</w:t>
      </w:r>
      <w:proofErr w:type="spellEnd"/>
      <w:r w:rsidRPr="000718E0">
        <w:rPr>
          <w:rFonts w:ascii="Times New Roman" w:eastAsia="Calibri" w:hAnsi="Times New Roman" w:cs="Times New Roman"/>
        </w:rPr>
        <w:t xml:space="preserve"> </w:t>
      </w: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Количество человеко-часов в год, осваивающих дополнительные общеразвивающие программы за счет предоставления сертификатов в рамках функционирования модели персонифицированного финансирования дополнительного образования детей отражаются в муниципальной программе «Развитие образования </w:t>
      </w:r>
      <w:r w:rsidR="00294EAE"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округа Воротынский Нижегородской области», утвержденное постановлением администрации </w:t>
      </w:r>
      <w:r w:rsidR="00294EAE"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округа Воротынский Нижегородской области</w:t>
      </w:r>
      <w:r w:rsidRPr="0007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8E0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№</w:t>
      </w:r>
      <w:r w:rsidRPr="000718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562 от 03.11.2020г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0718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2.6. Меры правового регулирования.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DEB" w:rsidRPr="000718E0" w:rsidRDefault="00720423" w:rsidP="004A5F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реализации Программы разработка нормативно-правовых актов не требуется.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E0">
        <w:rPr>
          <w:rFonts w:ascii="Times New Roman" w:eastAsia="Calibri" w:hAnsi="Times New Roman" w:cs="Times New Roman"/>
          <w:b/>
          <w:sz w:val="28"/>
          <w:szCs w:val="28"/>
        </w:rPr>
        <w:t>2.7. Обоснование объема финансирования</w:t>
      </w:r>
    </w:p>
    <w:p w:rsidR="00185DEB" w:rsidRPr="000718E0" w:rsidRDefault="00185DEB" w:rsidP="004A5F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4D6" w:rsidRPr="000718E0" w:rsidRDefault="00671315" w:rsidP="004A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финансирования Программы на весь период ее реализации составляет </w:t>
      </w:r>
      <w:r w:rsidR="00D91983" w:rsidRPr="000718E0">
        <w:rPr>
          <w:rFonts w:ascii="Times New Roman" w:hAnsi="Times New Roman" w:cs="Times New Roman"/>
          <w:sz w:val="28"/>
          <w:szCs w:val="28"/>
        </w:rPr>
        <w:t xml:space="preserve">319 291,3 </w:t>
      </w: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в том числе за счет средств бюджета </w:t>
      </w:r>
      <w:r w:rsidR="00294EAE"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</w:t>
      </w:r>
      <w:r w:rsidR="00D9198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319 291,3 </w:t>
      </w: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="00D91983"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руб., за счет средств федерального бюджета 0,00 тыс. руб.</w:t>
      </w:r>
      <w:r w:rsidR="00A44898" w:rsidRPr="000718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Ресурсное обеспечение реализации муниципальной программы за счет средств бюджета </w:t>
      </w:r>
      <w:r w:rsidR="00294EAE" w:rsidRPr="00071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Воротынский отражено в таблице 4.</w:t>
      </w: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муниципальной программы за счет всех источников отражена в таблице 5.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5DEB" w:rsidRPr="000718E0" w:rsidRDefault="00185DEB" w:rsidP="004A5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85DEB" w:rsidRPr="000718E0" w:rsidSect="004A5F4D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4. Ресурсное обеспечение реализации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за счет средств бюджета </w:t>
      </w:r>
      <w:r w:rsidR="00294EAE"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864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2659"/>
        <w:gridCol w:w="1411"/>
        <w:gridCol w:w="1127"/>
        <w:gridCol w:w="1056"/>
        <w:gridCol w:w="1228"/>
        <w:gridCol w:w="1180"/>
        <w:gridCol w:w="1174"/>
        <w:gridCol w:w="1029"/>
        <w:gridCol w:w="1183"/>
      </w:tblGrid>
      <w:tr w:rsidR="003614D6" w:rsidRPr="000718E0" w:rsidTr="00581AAC">
        <w:trPr>
          <w:trHeight w:val="276"/>
          <w:tblHeader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69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(по годам) за счет средств бюджета муниципального тыс. </w:t>
            </w:r>
            <w:proofErr w:type="spell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3614D6" w:rsidRPr="000718E0" w:rsidRDefault="003614D6" w:rsidP="003327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AAC" w:rsidRPr="000718E0" w:rsidTr="00581AAC">
        <w:trPr>
          <w:tblHeader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D6" w:rsidRPr="000718E0" w:rsidRDefault="003614D6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D6" w:rsidRPr="000718E0" w:rsidRDefault="003614D6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D6" w:rsidRPr="000718E0" w:rsidRDefault="003614D6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81AAC" w:rsidRPr="000718E0" w:rsidTr="00581AAC">
        <w:trPr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6" w:rsidRPr="000718E0" w:rsidRDefault="003614D6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1AAC" w:rsidRPr="000718E0" w:rsidTr="00581AAC">
        <w:trPr>
          <w:trHeight w:val="331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BE4A69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BE4A69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спорта в 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581AAC" w:rsidRPr="000718E0" w:rsidTr="00581AAC">
        <w:trPr>
          <w:trHeight w:val="1342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581AAC" w:rsidRPr="000718E0" w:rsidTr="00581AAC">
        <w:trPr>
          <w:trHeight w:val="277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</w:t>
            </w: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округа Воротынский.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581AAC" w:rsidRPr="000718E0" w:rsidTr="00581AAC">
        <w:trPr>
          <w:trHeight w:val="1104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581AAC" w:rsidRPr="000718E0" w:rsidTr="00581AAC">
        <w:trPr>
          <w:trHeight w:val="1104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2</w:t>
            </w:r>
          </w:p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ДО ФОК «Волга»;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55 348,1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316 291,3</w:t>
            </w:r>
          </w:p>
        </w:tc>
      </w:tr>
      <w:tr w:rsidR="00581AAC" w:rsidRPr="000718E0" w:rsidTr="00581AAC">
        <w:trPr>
          <w:trHeight w:val="1104"/>
        </w:trPr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55 348,1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316 291,3</w:t>
            </w:r>
          </w:p>
        </w:tc>
      </w:tr>
      <w:tr w:rsidR="00581AAC" w:rsidRPr="000718E0" w:rsidTr="00581AAC"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50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 w:rsidR="005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1AAC" w:rsidRPr="000718E0" w:rsidTr="00581AAC">
        <w:trPr>
          <w:trHeight w:val="1006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D4A95" w:rsidRPr="000718E0" w:rsidRDefault="005D4A95" w:rsidP="00332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671315" w:rsidRPr="000718E0" w:rsidRDefault="00671315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5D4A95" w:rsidRPr="000718E0" w:rsidRDefault="005D4A95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5. Прогнозная оценка расходов на реализацию</w:t>
      </w:r>
    </w:p>
    <w:p w:rsidR="00185DEB" w:rsidRPr="000718E0" w:rsidRDefault="00720423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за счет всех источников</w:t>
      </w:r>
    </w:p>
    <w:p w:rsidR="006963D0" w:rsidRPr="000718E0" w:rsidRDefault="006963D0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62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618"/>
        <w:gridCol w:w="1914"/>
        <w:gridCol w:w="1911"/>
        <w:gridCol w:w="1119"/>
        <w:gridCol w:w="1178"/>
        <w:gridCol w:w="1178"/>
        <w:gridCol w:w="1178"/>
        <w:gridCol w:w="1178"/>
        <w:gridCol w:w="1032"/>
        <w:gridCol w:w="1178"/>
      </w:tblGrid>
      <w:tr w:rsidR="00581AAC" w:rsidRPr="000718E0" w:rsidTr="00581AAC">
        <w:trPr>
          <w:trHeight w:val="448"/>
          <w:tblHeader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6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AC" w:rsidRPr="000718E0" w:rsidRDefault="00581AAC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</w:t>
            </w:r>
          </w:p>
          <w:p w:rsidR="00581AAC" w:rsidRPr="000718E0" w:rsidRDefault="00581AAC" w:rsidP="004A5F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AAC" w:rsidRPr="000718E0" w:rsidTr="00581AAC">
        <w:trPr>
          <w:tblHeader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81AAC" w:rsidRPr="000718E0" w:rsidTr="00581AAC">
        <w:trPr>
          <w:tblHeader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1AAC" w:rsidRPr="000718E0" w:rsidTr="00581AAC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AAC" w:rsidRPr="000718E0" w:rsidRDefault="00395463" w:rsidP="003327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507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</w:t>
            </w:r>
            <w:r w:rsidR="005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581AAC" w:rsidRPr="000718E0" w:rsidTr="00581AAC"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581AAC" w:rsidRPr="000718E0" w:rsidTr="00581AAC"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сборных команд муниципального округа Воротынский в областных, всероссийских и международных соревнованиях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Воротынский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1380,00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муниципального округа Воротынский среди коллективов организаций, предприятий и учреждений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Воротынский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муниципального округа Воротынский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92A52" w:rsidRPr="000718E0" w:rsidTr="000960D0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среди инвалидов муниципального округа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детских садов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92A52" w:rsidRPr="000718E0" w:rsidTr="00581AAC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A52" w:rsidRPr="000718E0" w:rsidRDefault="00992A52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52" w:rsidRPr="000718E0" w:rsidRDefault="00992A52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D91983" w:rsidRPr="000718E0" w:rsidTr="00581AAC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83" w:rsidRPr="000718E0" w:rsidRDefault="00D91983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83" w:rsidRPr="000718E0" w:rsidRDefault="00D91983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на финансовое обеспечение муниципальных заданий на оказание муниципальных услуг (выполнение работ) МАУ ДО ФОК «Волга»;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55 348,1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316 291,3</w:t>
            </w:r>
          </w:p>
        </w:tc>
      </w:tr>
      <w:tr w:rsidR="00D91983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55 348,1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316 291,3</w:t>
            </w:r>
          </w:p>
        </w:tc>
      </w:tr>
      <w:tr w:rsidR="00D91983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областного 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91983" w:rsidRPr="000718E0" w:rsidTr="00581AAC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 </w:t>
            </w:r>
          </w:p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3" w:rsidRPr="000718E0" w:rsidRDefault="00D91983" w:rsidP="0050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 w:rsidR="005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91983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91983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 (средства предприятий, собственные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91983" w:rsidRPr="000718E0" w:rsidTr="00A1003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МАУ ДО ФОК</w:t>
            </w:r>
          </w:p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983" w:rsidRPr="000718E0" w:rsidRDefault="00D91983" w:rsidP="00332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83" w:rsidRPr="000718E0" w:rsidRDefault="00D91983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A1003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A1003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1AAC" w:rsidRPr="000718E0" w:rsidTr="00581AAC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AC" w:rsidRPr="000718E0" w:rsidRDefault="00581AAC" w:rsidP="0033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33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AC" w:rsidRPr="000718E0" w:rsidRDefault="00581AAC" w:rsidP="00E6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581AAC" w:rsidRPr="000718E0" w:rsidRDefault="00581AAC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581AAC" w:rsidRPr="000718E0" w:rsidRDefault="00581AAC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581AAC" w:rsidRPr="000718E0" w:rsidRDefault="00581AAC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5D4A95" w:rsidRPr="000718E0" w:rsidRDefault="005D4A95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85DEB" w:rsidRPr="000718E0" w:rsidRDefault="00185DEB" w:rsidP="004A5F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185DEB" w:rsidRPr="000718E0" w:rsidSect="004A5F4D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0718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2.8. Анализ рисков реализации муниципальной программы.</w:t>
      </w:r>
    </w:p>
    <w:p w:rsidR="00185DEB" w:rsidRPr="000718E0" w:rsidRDefault="00185DEB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внешним факторам, негативно влияющим на реализацию Программы, относятся: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Финансовые риски: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инфляция;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сокращение объемов финансирования из бюджета </w:t>
      </w:r>
      <w:r w:rsidR="00294EAE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Воротынский Нижегородской </w:t>
      </w:r>
      <w:r w:rsidR="00D410C6"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на реализацию Программы.</w:t>
      </w:r>
    </w:p>
    <w:p w:rsidR="00185DEB" w:rsidRPr="000718E0" w:rsidRDefault="00720423" w:rsidP="004A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ограничения финансового риска является ежегодная корректировка перечня и объемов финансирования программных мероприятий.</w:t>
      </w:r>
    </w:p>
    <w:p w:rsidR="001104EC" w:rsidRPr="000718E0" w:rsidRDefault="001104EC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4EC" w:rsidRPr="000718E0" w:rsidRDefault="001104EC" w:rsidP="004A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F80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="00A22F80" w:rsidRPr="000718E0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5C6" w:rsidRPr="000718E0" w:rsidRDefault="00D945C6" w:rsidP="00D945C6">
      <w:pPr>
        <w:tabs>
          <w:tab w:val="left" w:pos="2943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945C6" w:rsidRPr="000718E0" w:rsidSect="004A5F4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82" w:rsidRDefault="003A3682">
      <w:pPr>
        <w:spacing w:line="240" w:lineRule="auto"/>
      </w:pPr>
      <w:r>
        <w:separator/>
      </w:r>
    </w:p>
  </w:endnote>
  <w:endnote w:type="continuationSeparator" w:id="0">
    <w:p w:rsidR="003A3682" w:rsidRDefault="003A3682">
      <w:pPr>
        <w:spacing w:line="240" w:lineRule="auto"/>
      </w:pPr>
      <w:r>
        <w:continuationSeparator/>
      </w:r>
    </w:p>
  </w:endnote>
  <w:endnote w:id="1">
    <w:p w:rsidR="002D0EB6" w:rsidRPr="00A22F80" w:rsidRDefault="002D0EB6" w:rsidP="003614D6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82" w:rsidRDefault="003A3682">
      <w:pPr>
        <w:spacing w:after="0"/>
      </w:pPr>
      <w:r>
        <w:separator/>
      </w:r>
    </w:p>
  </w:footnote>
  <w:footnote w:type="continuationSeparator" w:id="0">
    <w:p w:rsidR="003A3682" w:rsidRDefault="003A3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0C5E2D50"/>
    <w:multiLevelType w:val="multilevel"/>
    <w:tmpl w:val="0C5E2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76009"/>
    <w:multiLevelType w:val="multilevel"/>
    <w:tmpl w:val="1A876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F07B7"/>
    <w:multiLevelType w:val="hybridMultilevel"/>
    <w:tmpl w:val="3116A808"/>
    <w:lvl w:ilvl="0" w:tplc="98F687AC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07"/>
    <w:rsid w:val="00004F90"/>
    <w:rsid w:val="000065F4"/>
    <w:rsid w:val="000077ED"/>
    <w:rsid w:val="0001189D"/>
    <w:rsid w:val="0001538F"/>
    <w:rsid w:val="00043B9C"/>
    <w:rsid w:val="00052B2B"/>
    <w:rsid w:val="00055380"/>
    <w:rsid w:val="000607DF"/>
    <w:rsid w:val="00065012"/>
    <w:rsid w:val="000718E0"/>
    <w:rsid w:val="000960D0"/>
    <w:rsid w:val="000A5499"/>
    <w:rsid w:val="000A5EAD"/>
    <w:rsid w:val="000D081C"/>
    <w:rsid w:val="000E1721"/>
    <w:rsid w:val="000E5990"/>
    <w:rsid w:val="001020E1"/>
    <w:rsid w:val="001104EC"/>
    <w:rsid w:val="001122E3"/>
    <w:rsid w:val="001239A2"/>
    <w:rsid w:val="00126C78"/>
    <w:rsid w:val="001453CB"/>
    <w:rsid w:val="00146B00"/>
    <w:rsid w:val="001670A0"/>
    <w:rsid w:val="0017402D"/>
    <w:rsid w:val="00185DEB"/>
    <w:rsid w:val="00193FB2"/>
    <w:rsid w:val="001A04CB"/>
    <w:rsid w:val="001A4ADE"/>
    <w:rsid w:val="001B2167"/>
    <w:rsid w:val="001D6AA2"/>
    <w:rsid w:val="001D7886"/>
    <w:rsid w:val="00200C49"/>
    <w:rsid w:val="00204AFD"/>
    <w:rsid w:val="00214EB9"/>
    <w:rsid w:val="00217FE1"/>
    <w:rsid w:val="00224532"/>
    <w:rsid w:val="00260B1B"/>
    <w:rsid w:val="00284E6E"/>
    <w:rsid w:val="00292D82"/>
    <w:rsid w:val="0029363A"/>
    <w:rsid w:val="00294EAE"/>
    <w:rsid w:val="002A7BFD"/>
    <w:rsid w:val="002B5F51"/>
    <w:rsid w:val="002C0DD1"/>
    <w:rsid w:val="002D0EB6"/>
    <w:rsid w:val="002F58BD"/>
    <w:rsid w:val="0030544A"/>
    <w:rsid w:val="00317F3B"/>
    <w:rsid w:val="00324D8A"/>
    <w:rsid w:val="00330636"/>
    <w:rsid w:val="00331708"/>
    <w:rsid w:val="00332723"/>
    <w:rsid w:val="003614D6"/>
    <w:rsid w:val="00367AF3"/>
    <w:rsid w:val="00374BCC"/>
    <w:rsid w:val="00394064"/>
    <w:rsid w:val="00395463"/>
    <w:rsid w:val="003A3682"/>
    <w:rsid w:val="003B5224"/>
    <w:rsid w:val="003C0CB1"/>
    <w:rsid w:val="003C3CB2"/>
    <w:rsid w:val="003C55A6"/>
    <w:rsid w:val="003E0C30"/>
    <w:rsid w:val="003E4E41"/>
    <w:rsid w:val="003F7424"/>
    <w:rsid w:val="003F77AB"/>
    <w:rsid w:val="0040057D"/>
    <w:rsid w:val="00404C8D"/>
    <w:rsid w:val="00410BD4"/>
    <w:rsid w:val="00430E37"/>
    <w:rsid w:val="00432587"/>
    <w:rsid w:val="004345B8"/>
    <w:rsid w:val="00435991"/>
    <w:rsid w:val="00437E1F"/>
    <w:rsid w:val="00455D3F"/>
    <w:rsid w:val="004565E8"/>
    <w:rsid w:val="00464965"/>
    <w:rsid w:val="00474FBE"/>
    <w:rsid w:val="00481884"/>
    <w:rsid w:val="00481F86"/>
    <w:rsid w:val="00482C6C"/>
    <w:rsid w:val="00490D60"/>
    <w:rsid w:val="00496B41"/>
    <w:rsid w:val="00496DBC"/>
    <w:rsid w:val="004A09D0"/>
    <w:rsid w:val="004A434E"/>
    <w:rsid w:val="004A5F4D"/>
    <w:rsid w:val="004B331E"/>
    <w:rsid w:val="004B4EA8"/>
    <w:rsid w:val="004C4246"/>
    <w:rsid w:val="004D6A13"/>
    <w:rsid w:val="004E101C"/>
    <w:rsid w:val="004E4CB7"/>
    <w:rsid w:val="004F16B0"/>
    <w:rsid w:val="0050503F"/>
    <w:rsid w:val="00507635"/>
    <w:rsid w:val="005373D4"/>
    <w:rsid w:val="00556E97"/>
    <w:rsid w:val="00562BF4"/>
    <w:rsid w:val="0057319D"/>
    <w:rsid w:val="00575A61"/>
    <w:rsid w:val="00581AAC"/>
    <w:rsid w:val="0058634D"/>
    <w:rsid w:val="005B257F"/>
    <w:rsid w:val="005B6F71"/>
    <w:rsid w:val="005C5B81"/>
    <w:rsid w:val="005D0728"/>
    <w:rsid w:val="005D454D"/>
    <w:rsid w:val="005D4A95"/>
    <w:rsid w:val="005E0F84"/>
    <w:rsid w:val="005F6AC9"/>
    <w:rsid w:val="00607E18"/>
    <w:rsid w:val="00616A82"/>
    <w:rsid w:val="00621080"/>
    <w:rsid w:val="0063516C"/>
    <w:rsid w:val="0067012D"/>
    <w:rsid w:val="00671315"/>
    <w:rsid w:val="006763DE"/>
    <w:rsid w:val="006831FD"/>
    <w:rsid w:val="00685E9A"/>
    <w:rsid w:val="00687A20"/>
    <w:rsid w:val="00692577"/>
    <w:rsid w:val="006963D0"/>
    <w:rsid w:val="006A5A0A"/>
    <w:rsid w:val="006B41B5"/>
    <w:rsid w:val="006C2C0B"/>
    <w:rsid w:val="006C5497"/>
    <w:rsid w:val="006D7543"/>
    <w:rsid w:val="006F0984"/>
    <w:rsid w:val="006F786D"/>
    <w:rsid w:val="00706FCB"/>
    <w:rsid w:val="00720423"/>
    <w:rsid w:val="00727D97"/>
    <w:rsid w:val="00736FDB"/>
    <w:rsid w:val="007377E0"/>
    <w:rsid w:val="00741A82"/>
    <w:rsid w:val="00744D4A"/>
    <w:rsid w:val="00760D4D"/>
    <w:rsid w:val="00760D81"/>
    <w:rsid w:val="0079563C"/>
    <w:rsid w:val="007A0C30"/>
    <w:rsid w:val="007A6A27"/>
    <w:rsid w:val="007B6C23"/>
    <w:rsid w:val="007E1CED"/>
    <w:rsid w:val="00802277"/>
    <w:rsid w:val="008049AC"/>
    <w:rsid w:val="008120C0"/>
    <w:rsid w:val="00815620"/>
    <w:rsid w:val="00825B00"/>
    <w:rsid w:val="00873813"/>
    <w:rsid w:val="00874F83"/>
    <w:rsid w:val="008902A8"/>
    <w:rsid w:val="008B6258"/>
    <w:rsid w:val="008F7652"/>
    <w:rsid w:val="0090320D"/>
    <w:rsid w:val="00905EC1"/>
    <w:rsid w:val="009105D6"/>
    <w:rsid w:val="00912EFF"/>
    <w:rsid w:val="00924B8D"/>
    <w:rsid w:val="00931298"/>
    <w:rsid w:val="0093411B"/>
    <w:rsid w:val="009377A2"/>
    <w:rsid w:val="00945040"/>
    <w:rsid w:val="00962D1D"/>
    <w:rsid w:val="0096591F"/>
    <w:rsid w:val="009701AC"/>
    <w:rsid w:val="0098228D"/>
    <w:rsid w:val="009825E0"/>
    <w:rsid w:val="009872AE"/>
    <w:rsid w:val="009926E5"/>
    <w:rsid w:val="00992A52"/>
    <w:rsid w:val="009A0B09"/>
    <w:rsid w:val="009A26C7"/>
    <w:rsid w:val="009B3633"/>
    <w:rsid w:val="009B3F5B"/>
    <w:rsid w:val="009B6F51"/>
    <w:rsid w:val="009C1FB0"/>
    <w:rsid w:val="009C33BC"/>
    <w:rsid w:val="009E14D8"/>
    <w:rsid w:val="009E2C50"/>
    <w:rsid w:val="009E42EF"/>
    <w:rsid w:val="009E6A6A"/>
    <w:rsid w:val="009F0C1A"/>
    <w:rsid w:val="009F59DE"/>
    <w:rsid w:val="00A073FE"/>
    <w:rsid w:val="00A1003C"/>
    <w:rsid w:val="00A15282"/>
    <w:rsid w:val="00A15345"/>
    <w:rsid w:val="00A22F80"/>
    <w:rsid w:val="00A302D7"/>
    <w:rsid w:val="00A31752"/>
    <w:rsid w:val="00A31D3A"/>
    <w:rsid w:val="00A41B05"/>
    <w:rsid w:val="00A44898"/>
    <w:rsid w:val="00A51A52"/>
    <w:rsid w:val="00A54C62"/>
    <w:rsid w:val="00A56EF5"/>
    <w:rsid w:val="00A64334"/>
    <w:rsid w:val="00A67B00"/>
    <w:rsid w:val="00A71ED1"/>
    <w:rsid w:val="00A77E86"/>
    <w:rsid w:val="00A8765E"/>
    <w:rsid w:val="00A93BFD"/>
    <w:rsid w:val="00A956F4"/>
    <w:rsid w:val="00A97051"/>
    <w:rsid w:val="00AB0C70"/>
    <w:rsid w:val="00AD381B"/>
    <w:rsid w:val="00AD72B6"/>
    <w:rsid w:val="00B02B40"/>
    <w:rsid w:val="00B07E3E"/>
    <w:rsid w:val="00B16007"/>
    <w:rsid w:val="00B2282F"/>
    <w:rsid w:val="00B23F5A"/>
    <w:rsid w:val="00B2466F"/>
    <w:rsid w:val="00B37774"/>
    <w:rsid w:val="00B447FB"/>
    <w:rsid w:val="00B563FE"/>
    <w:rsid w:val="00BA0304"/>
    <w:rsid w:val="00BA5868"/>
    <w:rsid w:val="00BB21D8"/>
    <w:rsid w:val="00BC5434"/>
    <w:rsid w:val="00BD1067"/>
    <w:rsid w:val="00BD1901"/>
    <w:rsid w:val="00BE2CF4"/>
    <w:rsid w:val="00BE4510"/>
    <w:rsid w:val="00BE4A69"/>
    <w:rsid w:val="00BE4EC3"/>
    <w:rsid w:val="00BF140F"/>
    <w:rsid w:val="00C03AA0"/>
    <w:rsid w:val="00C16930"/>
    <w:rsid w:val="00C30529"/>
    <w:rsid w:val="00C333A1"/>
    <w:rsid w:val="00C41FAA"/>
    <w:rsid w:val="00C50377"/>
    <w:rsid w:val="00C524D2"/>
    <w:rsid w:val="00C53F0B"/>
    <w:rsid w:val="00C666B1"/>
    <w:rsid w:val="00C7221A"/>
    <w:rsid w:val="00C7796D"/>
    <w:rsid w:val="00C82D4F"/>
    <w:rsid w:val="00C8361F"/>
    <w:rsid w:val="00C869FC"/>
    <w:rsid w:val="00C92D54"/>
    <w:rsid w:val="00C955D1"/>
    <w:rsid w:val="00C96617"/>
    <w:rsid w:val="00CB25F5"/>
    <w:rsid w:val="00CB2E36"/>
    <w:rsid w:val="00CD20F2"/>
    <w:rsid w:val="00CD3917"/>
    <w:rsid w:val="00D03156"/>
    <w:rsid w:val="00D114F4"/>
    <w:rsid w:val="00D14872"/>
    <w:rsid w:val="00D16DB0"/>
    <w:rsid w:val="00D212D2"/>
    <w:rsid w:val="00D302B7"/>
    <w:rsid w:val="00D410C6"/>
    <w:rsid w:val="00D45C87"/>
    <w:rsid w:val="00D65868"/>
    <w:rsid w:val="00D66CAB"/>
    <w:rsid w:val="00D84072"/>
    <w:rsid w:val="00D91983"/>
    <w:rsid w:val="00D945C6"/>
    <w:rsid w:val="00D9695C"/>
    <w:rsid w:val="00D973F1"/>
    <w:rsid w:val="00DA1352"/>
    <w:rsid w:val="00DB1BF1"/>
    <w:rsid w:val="00DB5985"/>
    <w:rsid w:val="00DC3457"/>
    <w:rsid w:val="00DD02CB"/>
    <w:rsid w:val="00DF27F4"/>
    <w:rsid w:val="00DF6CF6"/>
    <w:rsid w:val="00E027C4"/>
    <w:rsid w:val="00E0521A"/>
    <w:rsid w:val="00E252B1"/>
    <w:rsid w:val="00E36739"/>
    <w:rsid w:val="00E6450D"/>
    <w:rsid w:val="00E64A20"/>
    <w:rsid w:val="00E71C07"/>
    <w:rsid w:val="00E77293"/>
    <w:rsid w:val="00E776E6"/>
    <w:rsid w:val="00E83BED"/>
    <w:rsid w:val="00E96AAB"/>
    <w:rsid w:val="00EC33D0"/>
    <w:rsid w:val="00EC50BE"/>
    <w:rsid w:val="00EC58EF"/>
    <w:rsid w:val="00EC7CBC"/>
    <w:rsid w:val="00ED1FA7"/>
    <w:rsid w:val="00ED21D9"/>
    <w:rsid w:val="00ED345A"/>
    <w:rsid w:val="00EF0E01"/>
    <w:rsid w:val="00F02019"/>
    <w:rsid w:val="00F03134"/>
    <w:rsid w:val="00F12DB1"/>
    <w:rsid w:val="00F26986"/>
    <w:rsid w:val="00F31BBB"/>
    <w:rsid w:val="00F31DBE"/>
    <w:rsid w:val="00F56A34"/>
    <w:rsid w:val="00FA18F6"/>
    <w:rsid w:val="00FA7924"/>
    <w:rsid w:val="00FB34E0"/>
    <w:rsid w:val="00FB7DF1"/>
    <w:rsid w:val="00FD7BAE"/>
    <w:rsid w:val="00FE3278"/>
    <w:rsid w:val="00FE5AEE"/>
    <w:rsid w:val="08446796"/>
    <w:rsid w:val="10322DD1"/>
    <w:rsid w:val="1B533E98"/>
    <w:rsid w:val="3D8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A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Pr>
      <w:vertAlign w:val="superscript"/>
    </w:rPr>
  </w:style>
  <w:style w:type="character" w:styleId="a4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12"/>
    <w:uiPriority w:val="99"/>
    <w:semiHidden/>
    <w:unhideWhenUsed/>
    <w:qFormat/>
    <w:pPr>
      <w:spacing w:after="200"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pPr>
      <w:spacing w:after="0"/>
    </w:pPr>
    <w:rPr>
      <w:b/>
      <w:bCs/>
    </w:rPr>
  </w:style>
  <w:style w:type="paragraph" w:styleId="ad">
    <w:name w:val="Document Map"/>
    <w:basedOn w:val="a"/>
    <w:link w:val="ae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Title"/>
    <w:basedOn w:val="a"/>
    <w:link w:val="af2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qFormat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6">
    <w:name w:val="Текст примечания Знак"/>
    <w:basedOn w:val="a0"/>
    <w:link w:val="13"/>
    <w:uiPriority w:val="99"/>
    <w:semiHidden/>
    <w:qFormat/>
    <w:rPr>
      <w:sz w:val="20"/>
      <w:szCs w:val="20"/>
    </w:rPr>
  </w:style>
  <w:style w:type="paragraph" w:customStyle="1" w:styleId="13">
    <w:name w:val="Текст примечания1"/>
    <w:basedOn w:val="a"/>
    <w:next w:val="aa"/>
    <w:link w:val="af6"/>
    <w:uiPriority w:val="99"/>
    <w:semiHidden/>
    <w:qFormat/>
    <w:pPr>
      <w:spacing w:after="0"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a"/>
    <w:uiPriority w:val="99"/>
    <w:semiHidden/>
    <w:qFormat/>
    <w:locked/>
    <w:rPr>
      <w:sz w:val="20"/>
      <w:szCs w:val="20"/>
    </w:rPr>
  </w:style>
  <w:style w:type="character" w:customStyle="1" w:styleId="af2">
    <w:name w:val="Название Знак"/>
    <w:basedOn w:val="a0"/>
    <w:link w:val="af1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Тема примечания Знак"/>
    <w:basedOn w:val="af6"/>
    <w:link w:val="ab"/>
    <w:uiPriority w:val="99"/>
    <w:semiHidden/>
    <w:rPr>
      <w:b/>
      <w:bCs/>
      <w:sz w:val="20"/>
      <w:szCs w:val="20"/>
    </w:rPr>
  </w:style>
  <w:style w:type="character" w:customStyle="1" w:styleId="15">
    <w:name w:val="Тема примечания Знак1"/>
    <w:basedOn w:val="af6"/>
    <w:uiPriority w:val="99"/>
    <w:semiHidden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7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9">
    <w:name w:val="Заголовок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8">
    <w:name w:val="Гиперссылка1"/>
    <w:basedOn w:val="a0"/>
    <w:uiPriority w:val="99"/>
    <w:rPr>
      <w:color w:val="0563C1"/>
      <w:u w:val="single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fa">
    <w:name w:val="Основной текст_"/>
    <w:link w:val="19"/>
    <w:locked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a">
    <w:name w:val="Сетка таблицы1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b">
    <w:name w:val="Текст концевой сноски1"/>
    <w:basedOn w:val="a"/>
    <w:next w:val="a9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1b"/>
    <w:uiPriority w:val="99"/>
    <w:semiHidden/>
    <w:rPr>
      <w:sz w:val="20"/>
      <w:szCs w:val="20"/>
    </w:rPr>
  </w:style>
  <w:style w:type="character" w:customStyle="1" w:styleId="11">
    <w:name w:val="Текст концевой сноски Знак1"/>
    <w:basedOn w:val="a0"/>
    <w:link w:val="a9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A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Pr>
      <w:vertAlign w:val="superscript"/>
    </w:rPr>
  </w:style>
  <w:style w:type="character" w:styleId="a4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12"/>
    <w:uiPriority w:val="99"/>
    <w:semiHidden/>
    <w:unhideWhenUsed/>
    <w:qFormat/>
    <w:pPr>
      <w:spacing w:after="200"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pPr>
      <w:spacing w:after="0"/>
    </w:pPr>
    <w:rPr>
      <w:b/>
      <w:bCs/>
    </w:rPr>
  </w:style>
  <w:style w:type="paragraph" w:styleId="ad">
    <w:name w:val="Document Map"/>
    <w:basedOn w:val="a"/>
    <w:link w:val="ae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Title"/>
    <w:basedOn w:val="a"/>
    <w:link w:val="af2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qFormat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qFormat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6">
    <w:name w:val="Текст примечания Знак"/>
    <w:basedOn w:val="a0"/>
    <w:link w:val="13"/>
    <w:uiPriority w:val="99"/>
    <w:semiHidden/>
    <w:qFormat/>
    <w:rPr>
      <w:sz w:val="20"/>
      <w:szCs w:val="20"/>
    </w:rPr>
  </w:style>
  <w:style w:type="paragraph" w:customStyle="1" w:styleId="13">
    <w:name w:val="Текст примечания1"/>
    <w:basedOn w:val="a"/>
    <w:next w:val="aa"/>
    <w:link w:val="af6"/>
    <w:uiPriority w:val="99"/>
    <w:semiHidden/>
    <w:qFormat/>
    <w:pPr>
      <w:spacing w:after="0"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a"/>
    <w:uiPriority w:val="99"/>
    <w:semiHidden/>
    <w:qFormat/>
    <w:locked/>
    <w:rPr>
      <w:sz w:val="20"/>
      <w:szCs w:val="20"/>
    </w:rPr>
  </w:style>
  <w:style w:type="character" w:customStyle="1" w:styleId="af2">
    <w:name w:val="Название Знак"/>
    <w:basedOn w:val="a0"/>
    <w:link w:val="af1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Тема примечания Знак"/>
    <w:basedOn w:val="af6"/>
    <w:link w:val="ab"/>
    <w:uiPriority w:val="99"/>
    <w:semiHidden/>
    <w:rPr>
      <w:b/>
      <w:bCs/>
      <w:sz w:val="20"/>
      <w:szCs w:val="20"/>
    </w:rPr>
  </w:style>
  <w:style w:type="character" w:customStyle="1" w:styleId="15">
    <w:name w:val="Тема примечания Знак1"/>
    <w:basedOn w:val="af6"/>
    <w:uiPriority w:val="99"/>
    <w:semiHidden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7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9">
    <w:name w:val="Заголовок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8">
    <w:name w:val="Гиперссылка1"/>
    <w:basedOn w:val="a0"/>
    <w:uiPriority w:val="99"/>
    <w:rPr>
      <w:color w:val="0563C1"/>
      <w:u w:val="single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fa">
    <w:name w:val="Основной текст_"/>
    <w:link w:val="19"/>
    <w:locked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a">
    <w:name w:val="Сетка таблицы1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b">
    <w:name w:val="Текст концевой сноски1"/>
    <w:basedOn w:val="a"/>
    <w:next w:val="a9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1b"/>
    <w:uiPriority w:val="99"/>
    <w:semiHidden/>
    <w:rPr>
      <w:sz w:val="20"/>
      <w:szCs w:val="20"/>
    </w:rPr>
  </w:style>
  <w:style w:type="character" w:customStyle="1" w:styleId="11">
    <w:name w:val="Текст концевой сноски Знак1"/>
    <w:basedOn w:val="a0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E119-6238-465B-82FF-06C5562D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6</cp:revision>
  <cp:lastPrinted>2020-09-24T08:28:00Z</cp:lastPrinted>
  <dcterms:created xsi:type="dcterms:W3CDTF">2025-12-26T10:05:00Z</dcterms:created>
  <dcterms:modified xsi:type="dcterms:W3CDTF">2026-01-04T08:27:00Z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2A31978F677D4101A9E7275E7CCBABFB_13</vt:lpwstr>
  </property>
</Properties>
</file>